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6365B" w:rsidRPr="0016365B" w:rsidRDefault="0016365B" w:rsidP="0016365B">
      <w:pPr>
        <w:rPr>
          <w:b/>
          <w:bCs/>
          <w:u w:val="single"/>
        </w:rPr>
      </w:pPr>
      <w:r w:rsidRPr="0016365B">
        <w:rPr>
          <w:b/>
          <w:bCs/>
          <w:u w:val="single"/>
        </w:rPr>
        <w:t>Round Table Meeting Notes 17</w:t>
      </w:r>
      <w:r w:rsidRPr="0016365B">
        <w:rPr>
          <w:b/>
          <w:bCs/>
          <w:u w:val="single"/>
          <w:vertAlign w:val="superscript"/>
        </w:rPr>
        <w:t>th</w:t>
      </w:r>
      <w:r w:rsidRPr="0016365B">
        <w:rPr>
          <w:b/>
          <w:bCs/>
          <w:u w:val="single"/>
        </w:rPr>
        <w:t xml:space="preserve"> April 2025 </w:t>
      </w:r>
    </w:p>
    <w:p w:rsidR="0016365B" w:rsidRPr="0016365B" w:rsidRDefault="0016365B" w:rsidP="0016365B">
      <w:pPr>
        <w:rPr>
          <w:b/>
          <w:bCs/>
        </w:rPr>
      </w:pPr>
      <w:r w:rsidRPr="0016365B">
        <w:rPr>
          <w:b/>
          <w:bCs/>
        </w:rPr>
        <w:t xml:space="preserve">Governance </w:t>
      </w:r>
    </w:p>
    <w:p w:rsidR="0016365B" w:rsidRPr="0016365B" w:rsidRDefault="0016365B" w:rsidP="0016365B">
      <w:pPr>
        <w:numPr>
          <w:ilvl w:val="0"/>
          <w:numId w:val="18"/>
        </w:numPr>
      </w:pPr>
      <w:r w:rsidRPr="0016365B">
        <w:t xml:space="preserve">All the partners supported the top-tier governance changes and agreed that the Round Table should become the Partnership Board with a smaller membership. </w:t>
      </w:r>
    </w:p>
    <w:p w:rsidR="0016365B" w:rsidRPr="0016365B" w:rsidRDefault="0016365B" w:rsidP="0016365B">
      <w:pPr>
        <w:numPr>
          <w:ilvl w:val="0"/>
          <w:numId w:val="18"/>
        </w:numPr>
      </w:pPr>
      <w:r w:rsidRPr="0016365B">
        <w:t>All the partners also supported disbanding the Strategic Management Board and creating an Estate Management Board.  They welcomed a review of governance for the day-to-day management of the Estate and Public Realm, given the involvement of NHG, LBH, and R&amp;R.</w:t>
      </w:r>
    </w:p>
    <w:p w:rsidR="0016365B" w:rsidRPr="0016365B" w:rsidRDefault="0016365B" w:rsidP="0016365B">
      <w:pPr>
        <w:numPr>
          <w:ilvl w:val="0"/>
          <w:numId w:val="18"/>
        </w:numPr>
      </w:pPr>
      <w:r w:rsidRPr="0016365B">
        <w:t>To consider implementing changes to working groups at a later date, once the governance changes have had time to become established.</w:t>
      </w:r>
    </w:p>
    <w:p w:rsidR="0016365B" w:rsidRPr="0016365B" w:rsidRDefault="0016365B" w:rsidP="0016365B">
      <w:pPr>
        <w:numPr>
          <w:ilvl w:val="0"/>
          <w:numId w:val="18"/>
        </w:numPr>
      </w:pPr>
      <w:r w:rsidRPr="0016365B">
        <w:t xml:space="preserve">They all agreed to trial the new structure and review it after a period of three to six months. But overall, the new governance structure was </w:t>
      </w:r>
      <w:proofErr w:type="gramStart"/>
      <w:r w:rsidRPr="0016365B">
        <w:t>endorse</w:t>
      </w:r>
      <w:proofErr w:type="gramEnd"/>
      <w:r w:rsidRPr="0016365B">
        <w:t xml:space="preserve"> by all the partners.  </w:t>
      </w:r>
    </w:p>
    <w:p w:rsidR="0016365B" w:rsidRPr="0016365B" w:rsidRDefault="0016365B" w:rsidP="0016365B">
      <w:pPr>
        <w:numPr>
          <w:ilvl w:val="0"/>
          <w:numId w:val="18"/>
        </w:numPr>
      </w:pPr>
      <w:r w:rsidRPr="0016365B">
        <w:t xml:space="preserve">Next step is to look at the </w:t>
      </w:r>
      <w:proofErr w:type="spellStart"/>
      <w:r w:rsidRPr="0016365B">
        <w:t>ToR</w:t>
      </w:r>
      <w:proofErr w:type="spellEnd"/>
      <w:r w:rsidRPr="0016365B">
        <w:t xml:space="preserve"> for Round Table and Estate Management Board (SMB)</w:t>
      </w:r>
    </w:p>
    <w:p w:rsidR="0016365B" w:rsidRPr="0016365B" w:rsidRDefault="0016365B" w:rsidP="0016365B">
      <w:pPr>
        <w:rPr>
          <w:b/>
          <w:bCs/>
        </w:rPr>
      </w:pPr>
    </w:p>
    <w:p w:rsidR="0016365B" w:rsidRPr="0016365B" w:rsidRDefault="0016365B" w:rsidP="0016365B">
      <w:pPr>
        <w:rPr>
          <w:b/>
          <w:bCs/>
        </w:rPr>
      </w:pPr>
      <w:r w:rsidRPr="0016365B">
        <w:rPr>
          <w:b/>
          <w:bCs/>
        </w:rPr>
        <w:t xml:space="preserve">Cultural Strategy </w:t>
      </w:r>
      <w:r>
        <w:rPr>
          <w:b/>
          <w:bCs/>
        </w:rPr>
        <w:t xml:space="preserve">- </w:t>
      </w:r>
      <w:r w:rsidRPr="0016365B">
        <w:rPr>
          <w:b/>
          <w:bCs/>
        </w:rPr>
        <w:t>Presentation by the Cultural Development Officer</w:t>
      </w:r>
    </w:p>
    <w:p w:rsidR="0016365B" w:rsidRPr="0016365B" w:rsidRDefault="0016365B" w:rsidP="0016365B">
      <w:pPr>
        <w:numPr>
          <w:ilvl w:val="0"/>
          <w:numId w:val="15"/>
        </w:numPr>
      </w:pPr>
      <w:r w:rsidRPr="0016365B">
        <w:rPr>
          <w:b/>
          <w:bCs/>
        </w:rPr>
        <w:t>Community space</w:t>
      </w:r>
      <w:r w:rsidRPr="0016365B">
        <w:t> – available for up to three weeks after the festival for resident</w:t>
      </w:r>
      <w:r w:rsidRPr="0016365B">
        <w:noBreakHyphen/>
        <w:t>led activities.</w:t>
      </w:r>
    </w:p>
    <w:p w:rsidR="0016365B" w:rsidRPr="0016365B" w:rsidRDefault="0016365B" w:rsidP="0016365B">
      <w:pPr>
        <w:numPr>
          <w:ilvl w:val="0"/>
          <w:numId w:val="15"/>
        </w:numPr>
      </w:pPr>
      <w:r w:rsidRPr="0016365B">
        <w:rPr>
          <w:b/>
          <w:bCs/>
        </w:rPr>
        <w:t>Friends of Woodberry Down Arts Programme</w:t>
      </w:r>
      <w:r w:rsidRPr="0016365B">
        <w:t> – supported to pilot an arts initiative, in partnership with Hoxton Hall and Ducky for cabaret events.</w:t>
      </w:r>
    </w:p>
    <w:p w:rsidR="0016365B" w:rsidRPr="0016365B" w:rsidRDefault="0016365B" w:rsidP="0016365B">
      <w:pPr>
        <w:numPr>
          <w:ilvl w:val="0"/>
          <w:numId w:val="15"/>
        </w:numPr>
      </w:pPr>
      <w:r w:rsidRPr="0016365B">
        <w:rPr>
          <w:b/>
          <w:bCs/>
        </w:rPr>
        <w:t>Diversity Panto Project</w:t>
      </w:r>
      <w:r w:rsidRPr="0016365B">
        <w:t> – youth collaboration with Fame Star Youth and artist Rosa … working with Hackney Empire to devise and stage a panto over the next year, drawing on young people’s lived experience.</w:t>
      </w:r>
    </w:p>
    <w:p w:rsidR="0016365B" w:rsidRDefault="0016365B" w:rsidP="0016365B">
      <w:pPr>
        <w:numPr>
          <w:ilvl w:val="0"/>
          <w:numId w:val="15"/>
        </w:numPr>
      </w:pPr>
      <w:r w:rsidRPr="0016365B">
        <w:rPr>
          <w:b/>
          <w:bCs/>
        </w:rPr>
        <w:t>Archive inspiration</w:t>
      </w:r>
      <w:r w:rsidRPr="0016365B">
        <w:t> – the 1954 Woodberry Down Estate Community Club is a model for a new, resident</w:t>
      </w:r>
      <w:r w:rsidRPr="0016365B">
        <w:noBreakHyphen/>
        <w:t>run initiative.</w:t>
      </w:r>
    </w:p>
    <w:p w:rsidR="0016365B" w:rsidRPr="0016365B" w:rsidRDefault="0016365B" w:rsidP="0016365B">
      <w:pPr>
        <w:numPr>
          <w:ilvl w:val="0"/>
          <w:numId w:val="15"/>
        </w:numPr>
      </w:pPr>
      <w:r w:rsidRPr="0016365B">
        <w:rPr>
          <w:b/>
          <w:bCs/>
        </w:rPr>
        <w:t>Culture</w:t>
      </w:r>
      <w:r w:rsidRPr="0016365B">
        <w:rPr>
          <w:b/>
          <w:bCs/>
        </w:rPr>
        <w:noBreakHyphen/>
        <w:t>Club proposal</w:t>
      </w:r>
    </w:p>
    <w:p w:rsidR="0016365B" w:rsidRPr="0016365B" w:rsidRDefault="0016365B" w:rsidP="0016365B">
      <w:pPr>
        <w:pStyle w:val="ListParagraph"/>
        <w:numPr>
          <w:ilvl w:val="0"/>
          <w:numId w:val="14"/>
        </w:numPr>
      </w:pPr>
      <w:r w:rsidRPr="0016365B">
        <w:t>A resident</w:t>
      </w:r>
      <w:r w:rsidRPr="0016365B">
        <w:noBreakHyphen/>
        <w:t xml:space="preserve">led </w:t>
      </w:r>
      <w:r w:rsidRPr="0016365B">
        <w:rPr>
          <w:i/>
          <w:iCs/>
        </w:rPr>
        <w:t>Woodberry Down Culture Club</w:t>
      </w:r>
      <w:r w:rsidRPr="0016365B">
        <w:t xml:space="preserve"> with seed funding to curate community arts projects.</w:t>
      </w:r>
    </w:p>
    <w:p w:rsidR="0016365B" w:rsidRPr="0016365B" w:rsidRDefault="0016365B" w:rsidP="0016365B"/>
    <w:p w:rsidR="0016365B" w:rsidRDefault="0016365B" w:rsidP="0016365B">
      <w:r w:rsidRPr="0016365B">
        <w:rPr>
          <w:b/>
          <w:bCs/>
        </w:rPr>
        <w:t>Partners also provided updates</w:t>
      </w:r>
      <w:r>
        <w:t xml:space="preserve">: </w:t>
      </w:r>
      <w:r w:rsidRPr="0016365B">
        <w:t>NHG reported that most Phase 3A handover issues stemmed from rent and service-charge setting, prompting plans for clearer communication, longer decision periods and simplified home-operation guides. Service charges for Phase 3B are now being finalised; home viewings start on 29 May, with move-ins from 30 June. ITLA cautioned that summer-holiday absences may require flexibility</w:t>
      </w:r>
      <w:r>
        <w:t>.</w:t>
      </w:r>
      <w:r w:rsidRPr="0016365B">
        <w:t xml:space="preserve"> NHG will </w:t>
      </w:r>
      <w:r>
        <w:t xml:space="preserve">also </w:t>
      </w:r>
      <w:r w:rsidRPr="0016365B">
        <w:t>provide user-friendly heating guides, routine inspections and a clear fault-report process to all residents.</w:t>
      </w:r>
    </w:p>
    <w:p w:rsidR="0016365B" w:rsidRPr="0016365B" w:rsidRDefault="0016365B" w:rsidP="0016365B"/>
    <w:p w:rsidR="0016365B" w:rsidRPr="0016365B" w:rsidRDefault="0016365B" w:rsidP="0016365B">
      <w:r w:rsidRPr="0016365B">
        <w:t xml:space="preserve">Berkeley confirmed that Phase 3 remains on track to complete in mid-to-late June, while Phase 4’s start </w:t>
      </w:r>
      <w:r>
        <w:t>might</w:t>
      </w:r>
      <w:r w:rsidRPr="0016365B">
        <w:t xml:space="preserve"> slip</w:t>
      </w:r>
      <w:r>
        <w:t xml:space="preserve"> </w:t>
      </w:r>
      <w:r w:rsidRPr="0016365B">
        <w:t xml:space="preserve">owing to lengthy Building Safety </w:t>
      </w:r>
      <w:proofErr w:type="spellStart"/>
      <w:r w:rsidRPr="0016365B">
        <w:t>Regulator</w:t>
      </w:r>
      <w:proofErr w:type="spellEnd"/>
      <w:r w:rsidRPr="0016365B">
        <w:t xml:space="preserve"> approvals; partners may write to the local MP urging faster sign-off. Governance matters centred on whether the performance dashboard can be shared publicly and how to separate confidential data. </w:t>
      </w:r>
    </w:p>
    <w:p w:rsidR="0016365B" w:rsidRDefault="0016365B"/>
    <w:p w:rsidR="0016365B" w:rsidRPr="0016365B" w:rsidRDefault="0016365B">
      <w:pPr>
        <w:rPr>
          <w:b/>
          <w:bCs/>
          <w:u w:val="single"/>
        </w:rPr>
      </w:pPr>
      <w:r w:rsidRPr="0016365B">
        <w:rPr>
          <w:b/>
          <w:bCs/>
          <w:u w:val="single"/>
        </w:rPr>
        <w:t>Executive Committee Meeting 22</w:t>
      </w:r>
      <w:r w:rsidRPr="0016365B">
        <w:rPr>
          <w:b/>
          <w:bCs/>
          <w:u w:val="single"/>
          <w:vertAlign w:val="superscript"/>
        </w:rPr>
        <w:t>nd</w:t>
      </w:r>
      <w:r w:rsidRPr="0016365B">
        <w:rPr>
          <w:b/>
          <w:bCs/>
          <w:u w:val="single"/>
        </w:rPr>
        <w:t xml:space="preserve"> April </w:t>
      </w:r>
    </w:p>
    <w:p w:rsidR="0016365B" w:rsidRPr="0016365B" w:rsidRDefault="0016365B">
      <w:r w:rsidRPr="0016365B">
        <w:t xml:space="preserve">The committee focused on sharpening governance, improving partner responsiveness and preparing </w:t>
      </w:r>
      <w:r w:rsidRPr="0016365B">
        <w:t xml:space="preserve">the May Board agenda. </w:t>
      </w:r>
    </w:p>
    <w:p w:rsidR="0016365B" w:rsidRPr="0016365B" w:rsidRDefault="0016365B"/>
    <w:p w:rsidR="0016365B" w:rsidRPr="0016365B" w:rsidRDefault="0016365B" w:rsidP="0016365B">
      <w:r w:rsidRPr="0016365B">
        <w:t>They noted that the c</w:t>
      </w:r>
      <w:r w:rsidRPr="0016365B">
        <w:t>irculating action lists in advance has improved response rates</w:t>
      </w:r>
      <w:r w:rsidRPr="0016365B">
        <w:t xml:space="preserve"> for April Board</w:t>
      </w:r>
      <w:r w:rsidRPr="0016365B">
        <w:t>, and the</w:t>
      </w:r>
      <w:r w:rsidRPr="0016365B">
        <w:t xml:space="preserve">y have suggested that the Chair </w:t>
      </w:r>
      <w:r w:rsidRPr="0016365B">
        <w:t xml:space="preserve">review </w:t>
      </w:r>
      <w:r w:rsidRPr="0016365B">
        <w:t xml:space="preserve">Board </w:t>
      </w:r>
      <w:r w:rsidRPr="0016365B">
        <w:t xml:space="preserve">minutes before issue. </w:t>
      </w:r>
      <w:r w:rsidRPr="0016365B">
        <w:t xml:space="preserve">The Executive also discussed the cultural strategy, and the various document that have been </w:t>
      </w:r>
      <w:r w:rsidRPr="0016365B">
        <w:lastRenderedPageBreak/>
        <w:t>circulated. They have requested for the e</w:t>
      </w:r>
      <w:r w:rsidRPr="0016365B">
        <w:t xml:space="preserve">arlier cultural and arts strategies were recirculated, and </w:t>
      </w:r>
      <w:r w:rsidRPr="0016365B">
        <w:t xml:space="preserve">the recent presentation at the round table </w:t>
      </w:r>
      <w:r w:rsidRPr="0016365B">
        <w:t>will go before the May Board alongside Masterplan comments, a Block D naming process</w:t>
      </w:r>
      <w:r w:rsidRPr="0016365B">
        <w:t xml:space="preserve">/strategy. There was also a request for partners to include an update on Phase 3B and temporary housing. As well as the update from MHDT </w:t>
      </w:r>
      <w:r w:rsidRPr="0016365B">
        <w:t>restructuring.</w:t>
      </w:r>
    </w:p>
    <w:p w:rsidR="0016365B" w:rsidRDefault="0016365B"/>
    <w:p w:rsidR="0016365B" w:rsidRDefault="0016365B"/>
    <w:p w:rsidR="0016365B" w:rsidRPr="0016365B" w:rsidRDefault="0016365B" w:rsidP="0016365B">
      <w:pPr>
        <w:rPr>
          <w:b/>
          <w:bCs/>
          <w:u w:val="single"/>
        </w:rPr>
      </w:pPr>
      <w:r w:rsidRPr="0016365B">
        <w:rPr>
          <w:b/>
          <w:bCs/>
          <w:u w:val="single"/>
        </w:rPr>
        <w:t xml:space="preserve">Service Charges Working Group - Meeting Notes 22nd April </w:t>
      </w:r>
    </w:p>
    <w:p w:rsidR="0016365B" w:rsidRDefault="0016365B" w:rsidP="0016365B">
      <w:r w:rsidRPr="0016365B">
        <w:rPr>
          <w:b/>
          <w:bCs/>
        </w:rPr>
        <w:t>Recent Communications and Direct-Debit Issues</w:t>
      </w:r>
      <w:r w:rsidRPr="0016365B">
        <w:br/>
        <w:t>On 11 April, the Phase 3A rent and service-charge confirmation letters for 2024/25 were issued. Unfortunately, on 7 April some direct debits were adjusted automatically before residents received their revised figures</w:t>
      </w:r>
      <w:r>
        <w:t xml:space="preserve"> for 2025/2026</w:t>
      </w:r>
      <w:r w:rsidRPr="0016365B">
        <w:t>, leading to over-payments. Both ITLA and WDCO have requested that NHG issue an apology and explore compensation for those affected. Going forward, no direct-debit changes will be made until all charges have been fully confirmed.</w:t>
      </w:r>
    </w:p>
    <w:p w:rsidR="0016365B" w:rsidRPr="0016365B" w:rsidRDefault="0016365B" w:rsidP="0016365B"/>
    <w:p w:rsidR="0016365B" w:rsidRDefault="0016365B" w:rsidP="0016365B">
      <w:r w:rsidRPr="0016365B">
        <w:rPr>
          <w:b/>
          <w:bCs/>
        </w:rPr>
        <w:t>Resident Support, Budget Review and Timelines</w:t>
      </w:r>
      <w:r w:rsidRPr="0016365B">
        <w:br/>
        <w:t xml:space="preserve">To support residents, drop-in sessions will be held at accessible venues (such as the Phase 3 community space or WDCO office) with a benefits adviser and CAB in attendance. </w:t>
      </w:r>
    </w:p>
    <w:p w:rsidR="0016365B" w:rsidRDefault="0016365B" w:rsidP="0016365B">
      <w:r w:rsidRPr="0016365B">
        <w:t xml:space="preserve">Noticeboards in new blocks will display clear, up-to-date posters, with standard blue boards to follow, and all letters will be concise and jargon-free with transparent breakdowns of rent and service charges. </w:t>
      </w:r>
    </w:p>
    <w:p w:rsidR="0016365B" w:rsidRDefault="0016365B" w:rsidP="0016365B"/>
    <w:p w:rsidR="0016365B" w:rsidRDefault="0016365B" w:rsidP="0016365B">
      <w:r w:rsidRPr="0016365B">
        <w:t>Service-charge budgets for Phase 3B exceed those for 3A due to Building Safety Act fees and start-up costs; NHG will provide a consolidated comparison sheet. Estate-wide electricity costs have been queried by ITLA, given that existing blocks appear to be paying significantly more. ITLA also noted that general-needs tenants do not contribute to reserve funds, prompting NHG to adjust the estate budget accordingly and issue a detailed cost-breakdown sheet.</w:t>
      </w:r>
    </w:p>
    <w:p w:rsidR="0016365B" w:rsidRPr="0016365B" w:rsidRDefault="0016365B" w:rsidP="0016365B"/>
    <w:p w:rsidR="0016365B" w:rsidRPr="0016365B" w:rsidRDefault="0016365B" w:rsidP="0016365B">
      <w:r w:rsidRPr="0016365B">
        <w:t xml:space="preserve">Key timelines include issuing the SO Phase 3A 2025/26 service-charge budget with a 30-day payment window, aligning rent and service-charge letters by March for implementation each April, and providing year-end reconciliations once available. </w:t>
      </w:r>
      <w:r>
        <w:t>It was also noted that f</w:t>
      </w:r>
      <w:r w:rsidRPr="0016365B">
        <w:t>inal service-charge figures for Phase 3B must be agreed imminently so that offer letters can be dispatched, and revised service-charge booklets will be shared with the working group this week.</w:t>
      </w:r>
    </w:p>
    <w:p w:rsidR="0016365B" w:rsidRDefault="0016365B" w:rsidP="0016365B"/>
    <w:p w:rsidR="0016365B" w:rsidRDefault="0016365B" w:rsidP="0016365B"/>
    <w:p w:rsidR="0016365B" w:rsidRPr="0016365B" w:rsidRDefault="0016365B" w:rsidP="0016365B">
      <w:pPr>
        <w:rPr>
          <w:b/>
          <w:bCs/>
          <w:u w:val="single"/>
        </w:rPr>
      </w:pPr>
      <w:r w:rsidRPr="0016365B">
        <w:rPr>
          <w:b/>
          <w:bCs/>
          <w:u w:val="single"/>
        </w:rPr>
        <w:t>Woodberry Down Event Planning Meeting</w:t>
      </w:r>
      <w:r w:rsidRPr="0016365B">
        <w:rPr>
          <w:b/>
          <w:bCs/>
          <w:u w:val="single"/>
        </w:rPr>
        <w:t xml:space="preserve"> 30</w:t>
      </w:r>
      <w:r w:rsidRPr="0016365B">
        <w:rPr>
          <w:b/>
          <w:bCs/>
          <w:u w:val="single"/>
          <w:vertAlign w:val="superscript"/>
        </w:rPr>
        <w:t>th</w:t>
      </w:r>
      <w:r w:rsidRPr="0016365B">
        <w:rPr>
          <w:b/>
          <w:bCs/>
          <w:u w:val="single"/>
        </w:rPr>
        <w:t xml:space="preserve"> April </w:t>
      </w:r>
    </w:p>
    <w:p w:rsidR="0016365B" w:rsidRDefault="0016365B">
      <w:r>
        <w:t xml:space="preserve">Dates for Community events: </w:t>
      </w:r>
    </w:p>
    <w:p w:rsidR="0016365B" w:rsidRDefault="0016365B" w:rsidP="0016365B">
      <w:pPr>
        <w:pStyle w:val="ListParagraph"/>
        <w:numPr>
          <w:ilvl w:val="0"/>
          <w:numId w:val="34"/>
        </w:numPr>
      </w:pPr>
      <w:r>
        <w:t>Fun Day Saturday 5</w:t>
      </w:r>
      <w:r w:rsidRPr="0016365B">
        <w:rPr>
          <w:vertAlign w:val="superscript"/>
        </w:rPr>
        <w:t>th</w:t>
      </w:r>
      <w:r>
        <w:t xml:space="preserve"> July </w:t>
      </w:r>
    </w:p>
    <w:p w:rsidR="0016365B" w:rsidRDefault="0016365B" w:rsidP="0016365B">
      <w:pPr>
        <w:pStyle w:val="ListParagraph"/>
        <w:numPr>
          <w:ilvl w:val="0"/>
          <w:numId w:val="34"/>
        </w:numPr>
      </w:pPr>
      <w:r>
        <w:t>Hidden River Festival 13</w:t>
      </w:r>
      <w:r w:rsidRPr="0016365B">
        <w:rPr>
          <w:vertAlign w:val="superscript"/>
        </w:rPr>
        <w:t>th</w:t>
      </w:r>
      <w:r>
        <w:t xml:space="preserve"> September </w:t>
      </w:r>
    </w:p>
    <w:p w:rsidR="0016365B" w:rsidRDefault="0016365B"/>
    <w:p w:rsidR="0016365B" w:rsidRDefault="0016365B" w:rsidP="0016365B">
      <w:r>
        <w:t>The last meeting discussed some of the take aways from last year’s Hidden River Festival and looked at p</w:t>
      </w:r>
      <w:r w:rsidRPr="0016365B">
        <w:t xml:space="preserve">lanning for this year’s Hidden River Festival </w:t>
      </w:r>
      <w:r>
        <w:t xml:space="preserve">which will </w:t>
      </w:r>
      <w:r w:rsidRPr="0016365B">
        <w:t xml:space="preserve">focus on boosting advance planning and strengthening commercial and community engagement. Last year’s event felt fragmented, with poor footfall at Coal House, so activities will be concentrated </w:t>
      </w:r>
      <w:r w:rsidRPr="0016365B">
        <w:lastRenderedPageBreak/>
        <w:t xml:space="preserve">between the Sales &amp; Marketing Suite and Spring Park, aided by clearer signage and a stronger presence from the London Wildlife Trust. </w:t>
      </w:r>
    </w:p>
    <w:p w:rsidR="0016365B" w:rsidRDefault="0016365B" w:rsidP="0016365B"/>
    <w:p w:rsidR="0016365B" w:rsidRDefault="0016365B" w:rsidP="0016365B">
      <w:r w:rsidRPr="0016365B">
        <w:t xml:space="preserve">Although road closures </w:t>
      </w:r>
      <w:proofErr w:type="gramStart"/>
      <w:r>
        <w:t>was</w:t>
      </w:r>
      <w:proofErr w:type="gramEnd"/>
      <w:r>
        <w:t xml:space="preserve"> discussed, it </w:t>
      </w:r>
      <w:r w:rsidRPr="0016365B">
        <w:t xml:space="preserve">proved too costly, </w:t>
      </w:r>
      <w:r>
        <w:t xml:space="preserve">instead they </w:t>
      </w:r>
      <w:r w:rsidRPr="0016365B">
        <w:t xml:space="preserve">will improve pedestrian flow by clustering stages and stalls around Spring Park playground, the Redmond Centre and Block </w:t>
      </w:r>
      <w:r>
        <w:t>D</w:t>
      </w:r>
      <w:r w:rsidRPr="0016365B">
        <w:t xml:space="preserve">. </w:t>
      </w:r>
      <w:r>
        <w:t>Also,</w:t>
      </w:r>
      <w:r w:rsidRPr="0016365B">
        <w:t xml:space="preserve"> reliable infrastructure suppliers will be secured to avoid last-year’s gazebo </w:t>
      </w:r>
      <w:r>
        <w:t>issues</w:t>
      </w:r>
      <w:r w:rsidRPr="0016365B">
        <w:t>.</w:t>
      </w:r>
    </w:p>
    <w:p w:rsidR="0016365B" w:rsidRPr="0016365B" w:rsidRDefault="0016365B" w:rsidP="0016365B"/>
    <w:p w:rsidR="0016365B" w:rsidRPr="0016365B" w:rsidRDefault="0016365B" w:rsidP="0016365B">
      <w:r>
        <w:t xml:space="preserve">A </w:t>
      </w:r>
      <w:r w:rsidRPr="0016365B">
        <w:t>budget will be earmarked for market stalls and partnerships</w:t>
      </w:r>
      <w:r>
        <w:t xml:space="preserve">. </w:t>
      </w:r>
      <w:r w:rsidRPr="0016365B">
        <w:t>A small deposit will reserve stalls and curb no-shows; subsidised fees will encourage resident and charity traders. Sponsorship packages—featuring interactive promotions will be developed, and the marketing team will marshal WhatsApp groups, noticeboards and email lists to widen reach. Catering will cover diverse diets</w:t>
      </w:r>
      <w:r>
        <w:t xml:space="preserve"> </w:t>
      </w:r>
      <w:r w:rsidRPr="0016365B">
        <w:t xml:space="preserve">and a stage-bus from Hackney Showroom is under review to complement the acoustic Wildlife Trust stage. </w:t>
      </w:r>
    </w:p>
    <w:p w:rsidR="0016365B" w:rsidRDefault="0016365B"/>
    <w:p w:rsidR="0016365B" w:rsidRPr="0016365B" w:rsidRDefault="0016365B">
      <w:pPr>
        <w:rPr>
          <w:u w:val="single"/>
        </w:rPr>
      </w:pPr>
      <w:r w:rsidRPr="0016365B">
        <w:rPr>
          <w:b/>
          <w:bCs/>
          <w:u w:val="single"/>
        </w:rPr>
        <w:t>Block D Meeting with Hackney and WDCO reps 23</w:t>
      </w:r>
      <w:r w:rsidRPr="0016365B">
        <w:rPr>
          <w:b/>
          <w:bCs/>
          <w:u w:val="single"/>
          <w:vertAlign w:val="superscript"/>
        </w:rPr>
        <w:t>rd</w:t>
      </w:r>
      <w:r w:rsidRPr="0016365B">
        <w:rPr>
          <w:b/>
          <w:bCs/>
          <w:u w:val="single"/>
        </w:rPr>
        <w:t xml:space="preserve"> April</w:t>
      </w:r>
    </w:p>
    <w:sectPr w:rsidR="0016365B" w:rsidRPr="001636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372A3"/>
    <w:multiLevelType w:val="multilevel"/>
    <w:tmpl w:val="5F5CC428"/>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58B5BDD"/>
    <w:multiLevelType w:val="multilevel"/>
    <w:tmpl w:val="DD62A1E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8AD0A6D"/>
    <w:multiLevelType w:val="hybridMultilevel"/>
    <w:tmpl w:val="1D8A98BE"/>
    <w:lvl w:ilvl="0" w:tplc="3704F226">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EB21AE"/>
    <w:multiLevelType w:val="hybridMultilevel"/>
    <w:tmpl w:val="798C51AA"/>
    <w:lvl w:ilvl="0" w:tplc="93C21510">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1379DB"/>
    <w:multiLevelType w:val="multilevel"/>
    <w:tmpl w:val="1A882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D3746A"/>
    <w:multiLevelType w:val="hybridMultilevel"/>
    <w:tmpl w:val="916ED2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F721B8C"/>
    <w:multiLevelType w:val="hybridMultilevel"/>
    <w:tmpl w:val="1AC0B33C"/>
    <w:lvl w:ilvl="0" w:tplc="3642CD06">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2722C8"/>
    <w:multiLevelType w:val="multilevel"/>
    <w:tmpl w:val="0E74C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B915BE"/>
    <w:multiLevelType w:val="hybridMultilevel"/>
    <w:tmpl w:val="B6706C8E"/>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E64A7F"/>
    <w:multiLevelType w:val="hybridMultilevel"/>
    <w:tmpl w:val="FCE2EEC6"/>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006E3C"/>
    <w:multiLevelType w:val="hybridMultilevel"/>
    <w:tmpl w:val="92CE65AE"/>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1734B2"/>
    <w:multiLevelType w:val="multilevel"/>
    <w:tmpl w:val="80CA58E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DDB73CA"/>
    <w:multiLevelType w:val="hybridMultilevel"/>
    <w:tmpl w:val="B55C1DC6"/>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69273B"/>
    <w:multiLevelType w:val="hybridMultilevel"/>
    <w:tmpl w:val="61A0A70C"/>
    <w:lvl w:ilvl="0" w:tplc="7CD6AD92">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763597"/>
    <w:multiLevelType w:val="hybridMultilevel"/>
    <w:tmpl w:val="FE32771E"/>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5" w15:restartNumberingAfterBreak="0">
    <w:nsid w:val="37B42E45"/>
    <w:multiLevelType w:val="multilevel"/>
    <w:tmpl w:val="6D20C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800D07"/>
    <w:multiLevelType w:val="multilevel"/>
    <w:tmpl w:val="A26A4596"/>
    <w:lvl w:ilvl="0">
      <w:start w:val="1"/>
      <w:numFmt w:val="bullet"/>
      <w:lvlText w:val="o"/>
      <w:lvlJc w:val="left"/>
      <w:pPr>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7B73EB"/>
    <w:multiLevelType w:val="hybridMultilevel"/>
    <w:tmpl w:val="F384D68C"/>
    <w:lvl w:ilvl="0" w:tplc="53323274">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2A7B37"/>
    <w:multiLevelType w:val="hybridMultilevel"/>
    <w:tmpl w:val="6262C19E"/>
    <w:lvl w:ilvl="0" w:tplc="04090003">
      <w:start w:val="1"/>
      <w:numFmt w:val="bullet"/>
      <w:lvlText w:val="o"/>
      <w:lvlJc w:val="left"/>
      <w:pPr>
        <w:ind w:left="720" w:hanging="360"/>
      </w:pPr>
      <w:rPr>
        <w:rFonts w:ascii="Courier New" w:hAnsi="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A7F2107"/>
    <w:multiLevelType w:val="multilevel"/>
    <w:tmpl w:val="8B34C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856843"/>
    <w:multiLevelType w:val="hybridMultilevel"/>
    <w:tmpl w:val="4A12EFA8"/>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1776C9"/>
    <w:multiLevelType w:val="multilevel"/>
    <w:tmpl w:val="7FD6C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34297D"/>
    <w:multiLevelType w:val="hybridMultilevel"/>
    <w:tmpl w:val="6DB402A6"/>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6D732F7"/>
    <w:multiLevelType w:val="hybridMultilevel"/>
    <w:tmpl w:val="A516A8BA"/>
    <w:lvl w:ilvl="0" w:tplc="7188E526">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FE4250"/>
    <w:multiLevelType w:val="hybridMultilevel"/>
    <w:tmpl w:val="91803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964A02"/>
    <w:multiLevelType w:val="multilevel"/>
    <w:tmpl w:val="0AC4430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6" w15:restartNumberingAfterBreak="0">
    <w:nsid w:val="61513123"/>
    <w:multiLevelType w:val="hybridMultilevel"/>
    <w:tmpl w:val="71CE6436"/>
    <w:lvl w:ilvl="0" w:tplc="04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64252CEB"/>
    <w:multiLevelType w:val="hybridMultilevel"/>
    <w:tmpl w:val="6E507A56"/>
    <w:lvl w:ilvl="0" w:tplc="815E527A">
      <w:start w:val="1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4E6208F"/>
    <w:multiLevelType w:val="multilevel"/>
    <w:tmpl w:val="9528B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C05541"/>
    <w:multiLevelType w:val="hybridMultilevel"/>
    <w:tmpl w:val="EFE832E6"/>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DEB0CF4"/>
    <w:multiLevelType w:val="hybridMultilevel"/>
    <w:tmpl w:val="3328FDF4"/>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154E9A"/>
    <w:multiLevelType w:val="hybridMultilevel"/>
    <w:tmpl w:val="7B363B1C"/>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DE40D6"/>
    <w:multiLevelType w:val="hybridMultilevel"/>
    <w:tmpl w:val="334EA002"/>
    <w:lvl w:ilvl="0" w:tplc="04090003">
      <w:start w:val="1"/>
      <w:numFmt w:val="bullet"/>
      <w:lvlText w:val="o"/>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DD94060"/>
    <w:multiLevelType w:val="hybridMultilevel"/>
    <w:tmpl w:val="50EA8058"/>
    <w:lvl w:ilvl="0" w:tplc="04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43282582">
    <w:abstractNumId w:val="15"/>
  </w:num>
  <w:num w:numId="2" w16cid:durableId="363135647">
    <w:abstractNumId w:val="4"/>
  </w:num>
  <w:num w:numId="3" w16cid:durableId="788400704">
    <w:abstractNumId w:val="11"/>
  </w:num>
  <w:num w:numId="4" w16cid:durableId="1573202140">
    <w:abstractNumId w:val="0"/>
  </w:num>
  <w:num w:numId="5" w16cid:durableId="664820284">
    <w:abstractNumId w:val="25"/>
  </w:num>
  <w:num w:numId="6" w16cid:durableId="1942099798">
    <w:abstractNumId w:val="1"/>
  </w:num>
  <w:num w:numId="7" w16cid:durableId="1866672513">
    <w:abstractNumId w:val="21"/>
  </w:num>
  <w:num w:numId="8" w16cid:durableId="2007318382">
    <w:abstractNumId w:val="19"/>
  </w:num>
  <w:num w:numId="9" w16cid:durableId="320546234">
    <w:abstractNumId w:val="7"/>
  </w:num>
  <w:num w:numId="10" w16cid:durableId="459346011">
    <w:abstractNumId w:val="28"/>
  </w:num>
  <w:num w:numId="11" w16cid:durableId="581910312">
    <w:abstractNumId w:val="22"/>
  </w:num>
  <w:num w:numId="12" w16cid:durableId="619459469">
    <w:abstractNumId w:val="9"/>
  </w:num>
  <w:num w:numId="13" w16cid:durableId="155652913">
    <w:abstractNumId w:val="32"/>
  </w:num>
  <w:num w:numId="14" w16cid:durableId="473179981">
    <w:abstractNumId w:val="14"/>
  </w:num>
  <w:num w:numId="15" w16cid:durableId="2035185637">
    <w:abstractNumId w:val="16"/>
  </w:num>
  <w:num w:numId="16" w16cid:durableId="13070722">
    <w:abstractNumId w:val="18"/>
  </w:num>
  <w:num w:numId="17" w16cid:durableId="1007245521">
    <w:abstractNumId w:val="5"/>
  </w:num>
  <w:num w:numId="18" w16cid:durableId="1773939645">
    <w:abstractNumId w:val="33"/>
  </w:num>
  <w:num w:numId="19" w16cid:durableId="470638400">
    <w:abstractNumId w:val="24"/>
  </w:num>
  <w:num w:numId="20" w16cid:durableId="749232686">
    <w:abstractNumId w:val="13"/>
  </w:num>
  <w:num w:numId="21" w16cid:durableId="1624533317">
    <w:abstractNumId w:val="20"/>
  </w:num>
  <w:num w:numId="22" w16cid:durableId="889458175">
    <w:abstractNumId w:val="6"/>
  </w:num>
  <w:num w:numId="23" w16cid:durableId="1514952911">
    <w:abstractNumId w:val="26"/>
  </w:num>
  <w:num w:numId="24" w16cid:durableId="2061202896">
    <w:abstractNumId w:val="31"/>
  </w:num>
  <w:num w:numId="25" w16cid:durableId="1974632376">
    <w:abstractNumId w:val="2"/>
  </w:num>
  <w:num w:numId="26" w16cid:durableId="1121724023">
    <w:abstractNumId w:val="30"/>
  </w:num>
  <w:num w:numId="27" w16cid:durableId="1543860927">
    <w:abstractNumId w:val="3"/>
  </w:num>
  <w:num w:numId="28" w16cid:durableId="472798514">
    <w:abstractNumId w:val="8"/>
  </w:num>
  <w:num w:numId="29" w16cid:durableId="35395035">
    <w:abstractNumId w:val="23"/>
  </w:num>
  <w:num w:numId="30" w16cid:durableId="1930694434">
    <w:abstractNumId w:val="12"/>
  </w:num>
  <w:num w:numId="31" w16cid:durableId="1600874367">
    <w:abstractNumId w:val="27"/>
  </w:num>
  <w:num w:numId="32" w16cid:durableId="723867599">
    <w:abstractNumId w:val="29"/>
  </w:num>
  <w:num w:numId="33" w16cid:durableId="372508135">
    <w:abstractNumId w:val="17"/>
  </w:num>
  <w:num w:numId="34" w16cid:durableId="15511110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65B"/>
    <w:rsid w:val="0016365B"/>
    <w:rsid w:val="006B710E"/>
    <w:rsid w:val="00EA40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FF34F9D"/>
  <w15:chartTrackingRefBased/>
  <w15:docId w15:val="{104679E1-B26B-2A44-A3C0-D22A84A5C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36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184608">
      <w:bodyDiv w:val="1"/>
      <w:marLeft w:val="0"/>
      <w:marRight w:val="0"/>
      <w:marTop w:val="0"/>
      <w:marBottom w:val="0"/>
      <w:divBdr>
        <w:top w:val="none" w:sz="0" w:space="0" w:color="auto"/>
        <w:left w:val="none" w:sz="0" w:space="0" w:color="auto"/>
        <w:bottom w:val="none" w:sz="0" w:space="0" w:color="auto"/>
        <w:right w:val="none" w:sz="0" w:space="0" w:color="auto"/>
      </w:divBdr>
    </w:div>
    <w:div w:id="605776815">
      <w:bodyDiv w:val="1"/>
      <w:marLeft w:val="0"/>
      <w:marRight w:val="0"/>
      <w:marTop w:val="0"/>
      <w:marBottom w:val="0"/>
      <w:divBdr>
        <w:top w:val="none" w:sz="0" w:space="0" w:color="auto"/>
        <w:left w:val="none" w:sz="0" w:space="0" w:color="auto"/>
        <w:bottom w:val="none" w:sz="0" w:space="0" w:color="auto"/>
        <w:right w:val="none" w:sz="0" w:space="0" w:color="auto"/>
      </w:divBdr>
    </w:div>
    <w:div w:id="656111574">
      <w:bodyDiv w:val="1"/>
      <w:marLeft w:val="0"/>
      <w:marRight w:val="0"/>
      <w:marTop w:val="0"/>
      <w:marBottom w:val="0"/>
      <w:divBdr>
        <w:top w:val="none" w:sz="0" w:space="0" w:color="auto"/>
        <w:left w:val="none" w:sz="0" w:space="0" w:color="auto"/>
        <w:bottom w:val="none" w:sz="0" w:space="0" w:color="auto"/>
        <w:right w:val="none" w:sz="0" w:space="0" w:color="auto"/>
      </w:divBdr>
    </w:div>
    <w:div w:id="2009480010">
      <w:bodyDiv w:val="1"/>
      <w:marLeft w:val="0"/>
      <w:marRight w:val="0"/>
      <w:marTop w:val="0"/>
      <w:marBottom w:val="0"/>
      <w:divBdr>
        <w:top w:val="none" w:sz="0" w:space="0" w:color="auto"/>
        <w:left w:val="none" w:sz="0" w:space="0" w:color="auto"/>
        <w:bottom w:val="none" w:sz="0" w:space="0" w:color="auto"/>
        <w:right w:val="none" w:sz="0" w:space="0" w:color="auto"/>
      </w:divBdr>
    </w:div>
    <w:div w:id="204047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998</Words>
  <Characters>5695</Characters>
  <Application>Microsoft Office Word</Application>
  <DocSecurity>0</DocSecurity>
  <Lines>47</Lines>
  <Paragraphs>13</Paragraphs>
  <ScaleCrop>false</ScaleCrop>
  <Company/>
  <LinksUpToDate>false</LinksUpToDate>
  <CharactersWithSpaces>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1</cp:revision>
  <dcterms:created xsi:type="dcterms:W3CDTF">2025-05-12T13:10:00Z</dcterms:created>
  <dcterms:modified xsi:type="dcterms:W3CDTF">2025-05-13T13:02:00Z</dcterms:modified>
</cp:coreProperties>
</file>