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CFFDB32" w14:textId="77777777" w:rsidR="00C52F6F" w:rsidRPr="004E32AB" w:rsidRDefault="00C52F6F" w:rsidP="004E32AB">
      <w:pPr>
        <w:ind w:left="-709" w:right="-631"/>
        <w:rPr>
          <w:rFonts w:asciiTheme="majorHAnsi" w:hAnsiTheme="majorHAnsi"/>
          <w:b/>
        </w:rPr>
      </w:pPr>
      <w:bookmarkStart w:id="0" w:name="_GoBack"/>
      <w:r w:rsidRPr="004E32AB">
        <w:rPr>
          <w:rFonts w:asciiTheme="majorHAnsi" w:hAnsiTheme="majorHAnsi"/>
          <w:b/>
        </w:rPr>
        <w:t>For the attention of Hackney Mayor</w:t>
      </w:r>
    </w:p>
    <w:bookmarkEnd w:id="0"/>
    <w:p w14:paraId="4E88BA7F" w14:textId="77777777" w:rsidR="00C52F6F" w:rsidRPr="004E32AB" w:rsidRDefault="00C52F6F" w:rsidP="004E32AB">
      <w:pPr>
        <w:ind w:left="-709" w:right="-631"/>
        <w:rPr>
          <w:rFonts w:asciiTheme="majorHAnsi" w:hAnsiTheme="majorHAnsi"/>
          <w:b/>
        </w:rPr>
      </w:pPr>
      <w:r w:rsidRPr="004E32AB">
        <w:rPr>
          <w:rFonts w:asciiTheme="majorHAnsi" w:hAnsiTheme="majorHAnsi"/>
          <w:b/>
        </w:rPr>
        <w:t>From the residents of Woodberry Down estate</w:t>
      </w:r>
    </w:p>
    <w:p w14:paraId="113AF69C" w14:textId="6541CD88" w:rsidR="00C52F6F" w:rsidRPr="004E32AB" w:rsidRDefault="00C52F6F" w:rsidP="003F7FF7">
      <w:pPr>
        <w:tabs>
          <w:tab w:val="left" w:pos="-709"/>
        </w:tabs>
        <w:ind w:left="-709" w:right="-631"/>
        <w:rPr>
          <w:rFonts w:asciiTheme="majorHAnsi" w:hAnsiTheme="majorHAnsi"/>
        </w:rPr>
      </w:pPr>
      <w:r w:rsidRPr="004E32AB">
        <w:rPr>
          <w:rFonts w:asciiTheme="majorHAnsi" w:hAnsiTheme="majorHAnsi"/>
        </w:rPr>
        <w:t>Energy for heating and hot water on the Woodberry Down estat</w:t>
      </w:r>
      <w:r w:rsidR="00C16771" w:rsidRPr="004E32AB">
        <w:rPr>
          <w:rFonts w:asciiTheme="majorHAnsi" w:hAnsiTheme="majorHAnsi"/>
        </w:rPr>
        <w:t xml:space="preserve">e is provided by Berkeley Homes. </w:t>
      </w:r>
      <w:proofErr w:type="spellStart"/>
      <w:r w:rsidRPr="004E32AB">
        <w:rPr>
          <w:rFonts w:asciiTheme="majorHAnsi" w:hAnsiTheme="majorHAnsi"/>
        </w:rPr>
        <w:t>Insite</w:t>
      </w:r>
      <w:proofErr w:type="spellEnd"/>
      <w:r w:rsidRPr="004E32AB">
        <w:rPr>
          <w:rFonts w:asciiTheme="majorHAnsi" w:hAnsiTheme="majorHAnsi"/>
        </w:rPr>
        <w:t xml:space="preserve"> Energy act as </w:t>
      </w:r>
      <w:proofErr w:type="gramStart"/>
      <w:r w:rsidRPr="004E32AB">
        <w:rPr>
          <w:rFonts w:asciiTheme="majorHAnsi" w:hAnsiTheme="majorHAnsi"/>
        </w:rPr>
        <w:t>the</w:t>
      </w:r>
      <w:r w:rsidR="00C16771" w:rsidRPr="004E32AB">
        <w:rPr>
          <w:rFonts w:asciiTheme="majorHAnsi" w:hAnsiTheme="majorHAnsi"/>
        </w:rPr>
        <w:t>ir</w:t>
      </w:r>
      <w:proofErr w:type="gramEnd"/>
      <w:r w:rsidR="003F7FF7">
        <w:rPr>
          <w:rFonts w:asciiTheme="majorHAnsi" w:hAnsiTheme="majorHAnsi"/>
        </w:rPr>
        <w:t xml:space="preserve"> billing agents</w:t>
      </w:r>
      <w:r w:rsidRPr="004E32AB">
        <w:rPr>
          <w:rFonts w:asciiTheme="majorHAnsi" w:hAnsiTheme="majorHAnsi"/>
        </w:rPr>
        <w:t>.</w:t>
      </w:r>
      <w:r w:rsidR="00C16771" w:rsidRPr="004E32AB">
        <w:rPr>
          <w:rFonts w:asciiTheme="majorHAnsi" w:hAnsiTheme="majorHAnsi"/>
        </w:rPr>
        <w:t xml:space="preserve"> IS THIS TRUE FOR ALL TENURES???</w:t>
      </w:r>
    </w:p>
    <w:p w14:paraId="6A797433" w14:textId="6E88B410" w:rsidR="00C52F6F" w:rsidRPr="004E32AB" w:rsidRDefault="00C52F6F" w:rsidP="004E32AB">
      <w:pPr>
        <w:ind w:left="-709" w:right="-631"/>
        <w:rPr>
          <w:rFonts w:asciiTheme="majorHAnsi" w:hAnsiTheme="majorHAnsi"/>
        </w:rPr>
      </w:pPr>
      <w:r w:rsidRPr="004E32AB">
        <w:rPr>
          <w:rFonts w:asciiTheme="majorHAnsi" w:hAnsiTheme="majorHAnsi"/>
        </w:rPr>
        <w:t xml:space="preserve">On the afternoon of 13 September 2023 residents in private and shared ownership blocks (IS THIS TRUE?), received a heat charge notification (Undercharge Letter), dated 2 September, from </w:t>
      </w:r>
      <w:proofErr w:type="spellStart"/>
      <w:r w:rsidRPr="004E32AB">
        <w:rPr>
          <w:rFonts w:asciiTheme="majorHAnsi" w:hAnsiTheme="majorHAnsi"/>
        </w:rPr>
        <w:t>Insite</w:t>
      </w:r>
      <w:proofErr w:type="spellEnd"/>
      <w:r w:rsidRPr="004E32AB">
        <w:rPr>
          <w:rFonts w:asciiTheme="majorHAnsi" w:hAnsiTheme="majorHAnsi"/>
        </w:rPr>
        <w:t xml:space="preserve"> Energy advising of under-recovered gas costs for the period 1 October 2021 to 1 April </w:t>
      </w:r>
      <w:r w:rsidR="00C16771" w:rsidRPr="004E32AB">
        <w:rPr>
          <w:rFonts w:asciiTheme="majorHAnsi" w:hAnsiTheme="majorHAnsi"/>
        </w:rPr>
        <w:t>2023. These amounts were in the majority</w:t>
      </w:r>
      <w:r w:rsidRPr="004E32AB">
        <w:rPr>
          <w:rFonts w:asciiTheme="majorHAnsi" w:hAnsiTheme="majorHAnsi"/>
        </w:rPr>
        <w:t xml:space="preserve"> </w:t>
      </w:r>
      <w:r w:rsidR="003F7FF7">
        <w:rPr>
          <w:rFonts w:asciiTheme="majorHAnsi" w:hAnsiTheme="majorHAnsi"/>
        </w:rPr>
        <w:t xml:space="preserve">of </w:t>
      </w:r>
      <w:r w:rsidRPr="004E32AB">
        <w:rPr>
          <w:rFonts w:asciiTheme="majorHAnsi" w:hAnsiTheme="majorHAnsi"/>
        </w:rPr>
        <w:t>cases substantial – well over £500, and residents were advised that on or before 15</w:t>
      </w:r>
      <w:r w:rsidRPr="004E32AB">
        <w:rPr>
          <w:rFonts w:asciiTheme="majorHAnsi" w:hAnsiTheme="majorHAnsi"/>
          <w:vertAlign w:val="superscript"/>
        </w:rPr>
        <w:t>th</w:t>
      </w:r>
      <w:r w:rsidRPr="004E32AB">
        <w:rPr>
          <w:rFonts w:asciiTheme="majorHAnsi" w:hAnsiTheme="majorHAnsi"/>
        </w:rPr>
        <w:t xml:space="preserve"> September residents’ credit meters would be set to take 25% of each top up payment to recover the undercharge.</w:t>
      </w:r>
      <w:r w:rsidR="004E32AB" w:rsidRPr="004E32AB">
        <w:rPr>
          <w:rFonts w:asciiTheme="majorHAnsi" w:hAnsiTheme="majorHAnsi"/>
        </w:rPr>
        <w:t xml:space="preserve"> That is, we were not given any </w:t>
      </w:r>
      <w:r w:rsidR="003F7FF7">
        <w:rPr>
          <w:rFonts w:asciiTheme="majorHAnsi" w:hAnsiTheme="majorHAnsi"/>
        </w:rPr>
        <w:t xml:space="preserve">notice </w:t>
      </w:r>
      <w:r w:rsidR="004E32AB" w:rsidRPr="004E32AB">
        <w:rPr>
          <w:rFonts w:asciiTheme="majorHAnsi" w:hAnsiTheme="majorHAnsi"/>
        </w:rPr>
        <w:t xml:space="preserve">period in which to query the charge, even though the calculations were incorrect in some cases. </w:t>
      </w:r>
      <w:r w:rsidRPr="004E32AB">
        <w:rPr>
          <w:rFonts w:asciiTheme="majorHAnsi" w:hAnsiTheme="majorHAnsi"/>
        </w:rPr>
        <w:t xml:space="preserve">These letters came as a complete surprise to all residents and at a time when many are under extreme financial pressure. </w:t>
      </w:r>
    </w:p>
    <w:p w14:paraId="506BB865" w14:textId="4C0CD42C" w:rsidR="00C52F6F" w:rsidRPr="004E32AB" w:rsidRDefault="00C52F6F" w:rsidP="004E32AB">
      <w:pPr>
        <w:ind w:left="-709" w:right="-631"/>
        <w:rPr>
          <w:rFonts w:asciiTheme="majorHAnsi" w:hAnsiTheme="majorHAnsi"/>
        </w:rPr>
      </w:pPr>
      <w:r w:rsidRPr="004E32AB">
        <w:rPr>
          <w:rFonts w:asciiTheme="majorHAnsi" w:hAnsiTheme="majorHAnsi"/>
        </w:rPr>
        <w:t>The letter detailed three time periods going back two years, when Be</w:t>
      </w:r>
      <w:r w:rsidR="00FA728F">
        <w:rPr>
          <w:rFonts w:asciiTheme="majorHAnsi" w:hAnsiTheme="majorHAnsi"/>
        </w:rPr>
        <w:t>rkeley Homes had failed to change</w:t>
      </w:r>
      <w:r w:rsidRPr="004E32AB">
        <w:rPr>
          <w:rFonts w:asciiTheme="majorHAnsi" w:hAnsiTheme="majorHAnsi"/>
        </w:rPr>
        <w:t xml:space="preserve"> the tariffs to residents quickly enough – for example, they say that the rate they paid their gas supplier </w:t>
      </w:r>
      <w:r w:rsidR="00FA728F">
        <w:rPr>
          <w:rFonts w:asciiTheme="majorHAnsi" w:hAnsiTheme="majorHAnsi"/>
        </w:rPr>
        <w:t>increased</w:t>
      </w:r>
      <w:r w:rsidRPr="004E32AB">
        <w:rPr>
          <w:rFonts w:asciiTheme="majorHAnsi" w:hAnsiTheme="majorHAnsi"/>
        </w:rPr>
        <w:t xml:space="preserve"> on 1</w:t>
      </w:r>
      <w:r w:rsidRPr="004E32AB">
        <w:rPr>
          <w:rFonts w:asciiTheme="majorHAnsi" w:hAnsiTheme="majorHAnsi"/>
          <w:vertAlign w:val="superscript"/>
        </w:rPr>
        <w:t>st</w:t>
      </w:r>
      <w:r w:rsidRPr="004E32AB">
        <w:rPr>
          <w:rFonts w:asciiTheme="majorHAnsi" w:hAnsiTheme="majorHAnsi"/>
        </w:rPr>
        <w:t xml:space="preserve"> October 2021, but they did not increase the tariff to users until 1</w:t>
      </w:r>
      <w:r w:rsidRPr="004E32AB">
        <w:rPr>
          <w:rFonts w:asciiTheme="majorHAnsi" w:hAnsiTheme="majorHAnsi"/>
          <w:vertAlign w:val="superscript"/>
        </w:rPr>
        <w:t>st</w:t>
      </w:r>
      <w:r w:rsidRPr="004E32AB">
        <w:rPr>
          <w:rFonts w:asciiTheme="majorHAnsi" w:hAnsiTheme="majorHAnsi"/>
        </w:rPr>
        <w:t xml:space="preserve"> February 2022. At the time we were told of the February increase there was no mention that this would need to be backdated. </w:t>
      </w:r>
      <w:r w:rsidR="00760E8C" w:rsidRPr="004E32AB">
        <w:rPr>
          <w:rFonts w:asciiTheme="majorHAnsi" w:hAnsiTheme="majorHAnsi"/>
        </w:rPr>
        <w:t>At no point did any of the letters mention there would be a need to recover known undercharges, though there was mention of a</w:t>
      </w:r>
      <w:r w:rsidR="004E32AB" w:rsidRPr="004E32AB">
        <w:rPr>
          <w:rFonts w:asciiTheme="majorHAnsi" w:hAnsiTheme="majorHAnsi"/>
        </w:rPr>
        <w:t>’</w:t>
      </w:r>
      <w:r w:rsidR="00760E8C" w:rsidRPr="004E32AB">
        <w:rPr>
          <w:rFonts w:asciiTheme="majorHAnsi" w:hAnsiTheme="majorHAnsi"/>
        </w:rPr>
        <w:t xml:space="preserve"> reconciliation exercise</w:t>
      </w:r>
      <w:r w:rsidR="004E32AB" w:rsidRPr="004E32AB">
        <w:rPr>
          <w:rFonts w:asciiTheme="majorHAnsi" w:hAnsiTheme="majorHAnsi"/>
        </w:rPr>
        <w:t>’</w:t>
      </w:r>
      <w:r w:rsidR="00760E8C" w:rsidRPr="004E32AB">
        <w:rPr>
          <w:rFonts w:asciiTheme="majorHAnsi" w:hAnsiTheme="majorHAnsi"/>
        </w:rPr>
        <w:t xml:space="preserve">. </w:t>
      </w:r>
      <w:r w:rsidR="00FA728F">
        <w:rPr>
          <w:rFonts w:asciiTheme="majorHAnsi" w:hAnsiTheme="majorHAnsi"/>
        </w:rPr>
        <w:t>We were never alerted that significant ‘debts’ remained.</w:t>
      </w:r>
    </w:p>
    <w:p w14:paraId="4F8DDBCC" w14:textId="77777777" w:rsidR="00760E8C" w:rsidRPr="004E32AB" w:rsidRDefault="00760E8C" w:rsidP="004E32AB">
      <w:pPr>
        <w:ind w:left="-709" w:right="-631"/>
        <w:rPr>
          <w:rFonts w:asciiTheme="majorHAnsi" w:hAnsiTheme="majorHAnsi"/>
        </w:rPr>
      </w:pPr>
      <w:r w:rsidRPr="004E32AB">
        <w:rPr>
          <w:rFonts w:asciiTheme="majorHAnsi" w:hAnsiTheme="majorHAnsi"/>
        </w:rPr>
        <w:t>The following points summarise our concerns:</w:t>
      </w:r>
    </w:p>
    <w:p w14:paraId="10360A89" w14:textId="6E4D3D2B" w:rsidR="00760E8C" w:rsidRPr="004E32AB" w:rsidRDefault="00760E8C" w:rsidP="004E32AB">
      <w:pPr>
        <w:pStyle w:val="ListParagraph"/>
        <w:numPr>
          <w:ilvl w:val="0"/>
          <w:numId w:val="1"/>
        </w:numPr>
        <w:ind w:left="-709" w:right="-631"/>
        <w:rPr>
          <w:rFonts w:asciiTheme="majorHAnsi" w:hAnsiTheme="majorHAnsi"/>
          <w:sz w:val="22"/>
          <w:szCs w:val="22"/>
        </w:rPr>
      </w:pPr>
      <w:r w:rsidRPr="004E32AB">
        <w:rPr>
          <w:rFonts w:asciiTheme="majorHAnsi" w:hAnsiTheme="majorHAnsi"/>
          <w:sz w:val="22"/>
          <w:szCs w:val="22"/>
        </w:rPr>
        <w:t>We paid for energy in good faith, and yet BH/</w:t>
      </w:r>
      <w:proofErr w:type="spellStart"/>
      <w:r w:rsidRPr="004E32AB">
        <w:rPr>
          <w:rFonts w:asciiTheme="majorHAnsi" w:hAnsiTheme="majorHAnsi"/>
          <w:sz w:val="22"/>
          <w:szCs w:val="22"/>
        </w:rPr>
        <w:t>Insite</w:t>
      </w:r>
      <w:proofErr w:type="spellEnd"/>
      <w:r w:rsidRPr="004E32AB">
        <w:rPr>
          <w:rFonts w:asciiTheme="majorHAnsi" w:hAnsiTheme="majorHAnsi"/>
          <w:sz w:val="22"/>
          <w:szCs w:val="22"/>
        </w:rPr>
        <w:t xml:space="preserve"> are now demanding back </w:t>
      </w:r>
      <w:proofErr w:type="gramStart"/>
      <w:r w:rsidRPr="004E32AB">
        <w:rPr>
          <w:rFonts w:asciiTheme="majorHAnsi" w:hAnsiTheme="majorHAnsi"/>
          <w:sz w:val="22"/>
          <w:szCs w:val="22"/>
        </w:rPr>
        <w:t>payments which</w:t>
      </w:r>
      <w:proofErr w:type="gramEnd"/>
      <w:r w:rsidRPr="004E32AB">
        <w:rPr>
          <w:rFonts w:asciiTheme="majorHAnsi" w:hAnsiTheme="majorHAnsi"/>
          <w:sz w:val="22"/>
          <w:szCs w:val="22"/>
        </w:rPr>
        <w:t xml:space="preserve"> were not signalled at any point. The letter dated</w:t>
      </w:r>
      <w:r w:rsidR="004E32AB" w:rsidRPr="004E32AB">
        <w:rPr>
          <w:rFonts w:asciiTheme="majorHAnsi" w:hAnsiTheme="majorHAnsi"/>
          <w:sz w:val="22"/>
          <w:szCs w:val="22"/>
        </w:rPr>
        <w:t xml:space="preserve"> 2/9/23 (but received 13/9/23) </w:t>
      </w:r>
      <w:r w:rsidRPr="004E32AB">
        <w:rPr>
          <w:rFonts w:asciiTheme="majorHAnsi" w:hAnsiTheme="majorHAnsi"/>
          <w:sz w:val="22"/>
          <w:szCs w:val="22"/>
        </w:rPr>
        <w:t>was the first time we were told that prices increased months before tariff changes.</w:t>
      </w:r>
    </w:p>
    <w:p w14:paraId="043EF30E" w14:textId="776B6580" w:rsidR="00760E8C" w:rsidRPr="004E32AB" w:rsidRDefault="00760E8C" w:rsidP="004E32AB">
      <w:pPr>
        <w:pStyle w:val="ListParagraph"/>
        <w:numPr>
          <w:ilvl w:val="0"/>
          <w:numId w:val="1"/>
        </w:numPr>
        <w:ind w:left="-709" w:right="-631"/>
        <w:rPr>
          <w:rFonts w:asciiTheme="majorHAnsi" w:hAnsiTheme="majorHAnsi"/>
          <w:sz w:val="22"/>
          <w:szCs w:val="22"/>
        </w:rPr>
      </w:pPr>
      <w:r w:rsidRPr="004E32AB">
        <w:rPr>
          <w:rFonts w:asciiTheme="majorHAnsi" w:hAnsiTheme="majorHAnsi"/>
          <w:sz w:val="22"/>
          <w:szCs w:val="22"/>
        </w:rPr>
        <w:t>If we had been given notice that rates would be changing we could have cha</w:t>
      </w:r>
      <w:r w:rsidR="004E32AB" w:rsidRPr="004E32AB">
        <w:rPr>
          <w:rFonts w:asciiTheme="majorHAnsi" w:hAnsiTheme="majorHAnsi"/>
          <w:sz w:val="22"/>
          <w:szCs w:val="22"/>
        </w:rPr>
        <w:t xml:space="preserve">nged our usage behaviours. </w:t>
      </w:r>
      <w:r w:rsidRPr="004E32AB">
        <w:rPr>
          <w:rFonts w:asciiTheme="majorHAnsi" w:hAnsiTheme="majorHAnsi"/>
          <w:sz w:val="22"/>
          <w:szCs w:val="22"/>
        </w:rPr>
        <w:t>Berkeley Homes have effectively increased prices retrospectively without warning. This is illegal.</w:t>
      </w:r>
    </w:p>
    <w:p w14:paraId="7DFF05EC" w14:textId="231CFEE6" w:rsidR="00760E8C" w:rsidRPr="004E32AB" w:rsidRDefault="00760E8C" w:rsidP="004E32AB">
      <w:pPr>
        <w:pStyle w:val="ListParagraph"/>
        <w:numPr>
          <w:ilvl w:val="0"/>
          <w:numId w:val="1"/>
        </w:numPr>
        <w:ind w:left="-709" w:right="-631"/>
        <w:rPr>
          <w:rFonts w:asciiTheme="majorHAnsi" w:hAnsiTheme="majorHAnsi"/>
          <w:sz w:val="22"/>
          <w:szCs w:val="22"/>
        </w:rPr>
      </w:pPr>
      <w:r w:rsidRPr="004E32AB">
        <w:rPr>
          <w:rFonts w:asciiTheme="majorHAnsi" w:hAnsiTheme="majorHAnsi"/>
          <w:sz w:val="22"/>
          <w:szCs w:val="22"/>
        </w:rPr>
        <w:t xml:space="preserve">Giving us </w:t>
      </w:r>
      <w:r w:rsidR="004E32AB" w:rsidRPr="004E32AB">
        <w:rPr>
          <w:rFonts w:asciiTheme="majorHAnsi" w:hAnsiTheme="majorHAnsi"/>
          <w:sz w:val="22"/>
          <w:szCs w:val="22"/>
        </w:rPr>
        <w:t>no</w:t>
      </w:r>
      <w:r w:rsidRPr="004E32AB">
        <w:rPr>
          <w:rFonts w:asciiTheme="majorHAnsi" w:hAnsiTheme="majorHAnsi"/>
          <w:sz w:val="22"/>
          <w:szCs w:val="22"/>
        </w:rPr>
        <w:t xml:space="preserve"> notice of ‘debt’ recovery is cynical in the extreme, and breaches all customer service protocols</w:t>
      </w:r>
    </w:p>
    <w:p w14:paraId="3B932486" w14:textId="77777777" w:rsidR="00760E8C" w:rsidRPr="004E32AB" w:rsidRDefault="00760E8C" w:rsidP="004E32AB">
      <w:pPr>
        <w:pStyle w:val="ListParagraph"/>
        <w:numPr>
          <w:ilvl w:val="0"/>
          <w:numId w:val="1"/>
        </w:numPr>
        <w:ind w:left="-709" w:right="-631"/>
        <w:rPr>
          <w:rFonts w:asciiTheme="majorHAnsi" w:hAnsiTheme="majorHAnsi"/>
          <w:sz w:val="22"/>
          <w:szCs w:val="22"/>
        </w:rPr>
      </w:pPr>
      <w:r w:rsidRPr="004E32AB">
        <w:rPr>
          <w:rFonts w:asciiTheme="majorHAnsi" w:hAnsiTheme="majorHAnsi"/>
          <w:sz w:val="22"/>
          <w:szCs w:val="22"/>
        </w:rPr>
        <w:t>Taking funds from our meters without permission or adequate warning is illegal. We also dispute the calculations</w:t>
      </w:r>
    </w:p>
    <w:p w14:paraId="16ECF0D7" w14:textId="39C6B470" w:rsidR="00760E8C" w:rsidRPr="004E32AB" w:rsidRDefault="0092483D" w:rsidP="004E32AB">
      <w:pPr>
        <w:pStyle w:val="ListParagraph"/>
        <w:numPr>
          <w:ilvl w:val="0"/>
          <w:numId w:val="1"/>
        </w:numPr>
        <w:ind w:left="-709" w:right="-631"/>
        <w:rPr>
          <w:rFonts w:asciiTheme="majorHAnsi" w:hAnsiTheme="majorHAnsi"/>
          <w:sz w:val="22"/>
          <w:szCs w:val="22"/>
        </w:rPr>
      </w:pPr>
      <w:proofErr w:type="spellStart"/>
      <w:r>
        <w:rPr>
          <w:rFonts w:asciiTheme="majorHAnsi" w:hAnsiTheme="majorHAnsi"/>
          <w:sz w:val="22"/>
          <w:szCs w:val="22"/>
        </w:rPr>
        <w:t>Insite</w:t>
      </w:r>
      <w:proofErr w:type="spellEnd"/>
      <w:r>
        <w:rPr>
          <w:rFonts w:asciiTheme="majorHAnsi" w:hAnsiTheme="majorHAnsi"/>
          <w:sz w:val="22"/>
          <w:szCs w:val="22"/>
        </w:rPr>
        <w:t xml:space="preserve"> has never sent out statements</w:t>
      </w:r>
      <w:r w:rsidR="00760E8C" w:rsidRPr="004E32AB">
        <w:rPr>
          <w:rFonts w:asciiTheme="majorHAnsi" w:hAnsiTheme="majorHAnsi"/>
          <w:sz w:val="22"/>
          <w:szCs w:val="22"/>
        </w:rPr>
        <w:t>. We therefore have no way of verifying the usage figures.</w:t>
      </w:r>
    </w:p>
    <w:p w14:paraId="1AE01883" w14:textId="7812839C" w:rsidR="00760E8C" w:rsidRPr="004E32AB" w:rsidRDefault="004E32AB" w:rsidP="004E32AB">
      <w:pPr>
        <w:pStyle w:val="ListParagraph"/>
        <w:numPr>
          <w:ilvl w:val="0"/>
          <w:numId w:val="1"/>
        </w:numPr>
        <w:ind w:left="-709" w:right="-631"/>
        <w:rPr>
          <w:rFonts w:asciiTheme="majorHAnsi" w:hAnsiTheme="majorHAnsi"/>
          <w:sz w:val="22"/>
          <w:szCs w:val="22"/>
        </w:rPr>
      </w:pPr>
      <w:r w:rsidRPr="004E32AB">
        <w:rPr>
          <w:rFonts w:asciiTheme="majorHAnsi" w:hAnsiTheme="majorHAnsi"/>
          <w:sz w:val="22"/>
          <w:szCs w:val="22"/>
        </w:rPr>
        <w:t>It is not clear that</w:t>
      </w:r>
      <w:r w:rsidR="00760E8C" w:rsidRPr="004E32AB">
        <w:rPr>
          <w:rFonts w:asciiTheme="majorHAnsi" w:hAnsiTheme="majorHAnsi"/>
          <w:sz w:val="22"/>
          <w:szCs w:val="22"/>
        </w:rPr>
        <w:t xml:space="preserve"> the demands are correct for tenants who move in and out of these flats with great regularity</w:t>
      </w:r>
    </w:p>
    <w:p w14:paraId="22191A1B" w14:textId="77777777" w:rsidR="00760E8C" w:rsidRPr="004E32AB" w:rsidRDefault="00760E8C" w:rsidP="004E32AB">
      <w:pPr>
        <w:pStyle w:val="ListParagraph"/>
        <w:numPr>
          <w:ilvl w:val="0"/>
          <w:numId w:val="1"/>
        </w:numPr>
        <w:ind w:left="-709" w:right="-631"/>
        <w:rPr>
          <w:rFonts w:asciiTheme="majorHAnsi" w:hAnsiTheme="majorHAnsi"/>
          <w:sz w:val="22"/>
          <w:szCs w:val="22"/>
        </w:rPr>
      </w:pPr>
      <w:r w:rsidRPr="004E32AB">
        <w:rPr>
          <w:rFonts w:asciiTheme="majorHAnsi" w:hAnsiTheme="majorHAnsi"/>
          <w:sz w:val="22"/>
          <w:szCs w:val="22"/>
        </w:rPr>
        <w:t>It is unclear who will be responsible for large amounts of bad debts arising from ‘debts’ which are two years old, many of which will be for tenants who moved out during the period in question</w:t>
      </w:r>
    </w:p>
    <w:p w14:paraId="380B4059" w14:textId="46AE0A1A" w:rsidR="00760E8C" w:rsidRPr="004E32AB" w:rsidRDefault="00760E8C" w:rsidP="004E32AB">
      <w:pPr>
        <w:pStyle w:val="ListParagraph"/>
        <w:numPr>
          <w:ilvl w:val="0"/>
          <w:numId w:val="1"/>
        </w:numPr>
        <w:ind w:left="-709" w:right="-631"/>
        <w:rPr>
          <w:rFonts w:asciiTheme="majorHAnsi" w:hAnsiTheme="majorHAnsi"/>
          <w:sz w:val="22"/>
          <w:szCs w:val="22"/>
        </w:rPr>
      </w:pPr>
      <w:r w:rsidRPr="004E32AB">
        <w:rPr>
          <w:rFonts w:asciiTheme="majorHAnsi" w:hAnsiTheme="majorHAnsi"/>
          <w:sz w:val="22"/>
          <w:szCs w:val="22"/>
        </w:rPr>
        <w:t>It has taken two years to send out these demands suggesting mism</w:t>
      </w:r>
      <w:r w:rsidR="002E268D">
        <w:rPr>
          <w:rFonts w:asciiTheme="majorHAnsi" w:hAnsiTheme="majorHAnsi"/>
          <w:sz w:val="22"/>
          <w:szCs w:val="22"/>
        </w:rPr>
        <w:t>anagement of the highest order</w:t>
      </w:r>
    </w:p>
    <w:p w14:paraId="22B05533" w14:textId="085E86BC" w:rsidR="00760E8C" w:rsidRPr="004E32AB" w:rsidRDefault="00760E8C" w:rsidP="004E32AB">
      <w:pPr>
        <w:pStyle w:val="ListParagraph"/>
        <w:numPr>
          <w:ilvl w:val="0"/>
          <w:numId w:val="1"/>
        </w:numPr>
        <w:ind w:left="-709" w:right="-631"/>
        <w:rPr>
          <w:rFonts w:asciiTheme="majorHAnsi" w:hAnsiTheme="majorHAnsi"/>
          <w:sz w:val="22"/>
          <w:szCs w:val="22"/>
        </w:rPr>
      </w:pPr>
      <w:r w:rsidRPr="004E32AB">
        <w:rPr>
          <w:rFonts w:asciiTheme="majorHAnsi" w:hAnsiTheme="majorHAnsi"/>
          <w:sz w:val="22"/>
          <w:szCs w:val="22"/>
        </w:rPr>
        <w:t>Despite having formal Residents’</w:t>
      </w:r>
      <w:r w:rsidR="004E32AB" w:rsidRPr="004E32AB">
        <w:rPr>
          <w:rFonts w:asciiTheme="majorHAnsi" w:hAnsiTheme="majorHAnsi"/>
          <w:sz w:val="22"/>
          <w:szCs w:val="22"/>
        </w:rPr>
        <w:t xml:space="preserve"> and Tenants’ Associations, we </w:t>
      </w:r>
      <w:r w:rsidRPr="004E32AB">
        <w:rPr>
          <w:rFonts w:asciiTheme="majorHAnsi" w:hAnsiTheme="majorHAnsi"/>
          <w:sz w:val="22"/>
          <w:szCs w:val="22"/>
        </w:rPr>
        <w:t>were not warned at any point about this underlying ‘debt’ situation</w:t>
      </w:r>
    </w:p>
    <w:p w14:paraId="61C14836" w14:textId="77777777" w:rsidR="00760E8C" w:rsidRPr="004E32AB" w:rsidRDefault="00760E8C" w:rsidP="004E32AB">
      <w:pPr>
        <w:pStyle w:val="ListParagraph"/>
        <w:numPr>
          <w:ilvl w:val="0"/>
          <w:numId w:val="1"/>
        </w:numPr>
        <w:ind w:left="-709" w:right="-631"/>
        <w:rPr>
          <w:rFonts w:asciiTheme="majorHAnsi" w:hAnsiTheme="majorHAnsi"/>
          <w:sz w:val="22"/>
          <w:szCs w:val="22"/>
        </w:rPr>
      </w:pPr>
      <w:r w:rsidRPr="004E32AB">
        <w:rPr>
          <w:rFonts w:asciiTheme="majorHAnsi" w:hAnsiTheme="majorHAnsi"/>
          <w:sz w:val="22"/>
          <w:szCs w:val="22"/>
        </w:rPr>
        <w:t xml:space="preserve">These actions breach </w:t>
      </w:r>
      <w:proofErr w:type="spellStart"/>
      <w:r w:rsidRPr="004E32AB">
        <w:rPr>
          <w:rFonts w:asciiTheme="majorHAnsi" w:hAnsiTheme="majorHAnsi"/>
          <w:sz w:val="22"/>
          <w:szCs w:val="22"/>
        </w:rPr>
        <w:t>Ofgem</w:t>
      </w:r>
      <w:proofErr w:type="spellEnd"/>
      <w:r w:rsidRPr="004E32AB">
        <w:rPr>
          <w:rFonts w:asciiTheme="majorHAnsi" w:hAnsiTheme="majorHAnsi"/>
          <w:sz w:val="22"/>
          <w:szCs w:val="22"/>
        </w:rPr>
        <w:t xml:space="preserve"> requirements, and surely our supplier should aspire to conforming to such best practice conditions, even though not formally regulated by them</w:t>
      </w:r>
    </w:p>
    <w:p w14:paraId="4EFC32C8" w14:textId="77777777" w:rsidR="00760E8C" w:rsidRPr="004E32AB" w:rsidRDefault="00C120D2" w:rsidP="004E32AB">
      <w:pPr>
        <w:pStyle w:val="ListParagraph"/>
        <w:numPr>
          <w:ilvl w:val="0"/>
          <w:numId w:val="1"/>
        </w:numPr>
        <w:ind w:left="-709" w:right="-631"/>
        <w:rPr>
          <w:rFonts w:asciiTheme="majorHAnsi" w:hAnsiTheme="majorHAnsi"/>
          <w:sz w:val="22"/>
          <w:szCs w:val="22"/>
        </w:rPr>
      </w:pPr>
      <w:r w:rsidRPr="004E32AB">
        <w:rPr>
          <w:rFonts w:asciiTheme="majorHAnsi" w:hAnsiTheme="majorHAnsi"/>
          <w:sz w:val="22"/>
          <w:szCs w:val="22"/>
        </w:rPr>
        <w:t>These</w:t>
      </w:r>
      <w:r w:rsidR="00760E8C" w:rsidRPr="004E32AB">
        <w:rPr>
          <w:rFonts w:asciiTheme="majorHAnsi" w:hAnsiTheme="majorHAnsi"/>
          <w:sz w:val="22"/>
          <w:szCs w:val="22"/>
        </w:rPr>
        <w:t xml:space="preserve"> actions are not reasonable, and we believe them to be illegal</w:t>
      </w:r>
    </w:p>
    <w:p w14:paraId="2D638A07" w14:textId="77777777" w:rsidR="004E32AB" w:rsidRPr="004E32AB" w:rsidRDefault="004E32AB" w:rsidP="004E32AB">
      <w:pPr>
        <w:ind w:left="-709" w:right="-631"/>
        <w:rPr>
          <w:rFonts w:asciiTheme="majorHAnsi" w:hAnsiTheme="majorHAnsi"/>
        </w:rPr>
      </w:pPr>
    </w:p>
    <w:p w14:paraId="639018BA" w14:textId="4CD635E8" w:rsidR="004E32AB" w:rsidRPr="004E32AB" w:rsidRDefault="004E32AB" w:rsidP="004E32AB">
      <w:pPr>
        <w:ind w:left="-709" w:right="-631"/>
        <w:rPr>
          <w:rFonts w:asciiTheme="majorHAnsi" w:hAnsiTheme="majorHAnsi"/>
        </w:rPr>
      </w:pPr>
      <w:r w:rsidRPr="004E32AB">
        <w:rPr>
          <w:rFonts w:asciiTheme="majorHAnsi" w:hAnsiTheme="majorHAnsi"/>
        </w:rPr>
        <w:t>Residents have written to Berkeley Homes, but despite their saying they would respond within days, after two weeks we still have no reply. WHAT OTHER ACTIONS HAVE TAKEN PLACE?</w:t>
      </w:r>
    </w:p>
    <w:p w14:paraId="3C350377" w14:textId="51F3BE24" w:rsidR="00574B24" w:rsidRPr="004E32AB" w:rsidRDefault="004E32AB" w:rsidP="00BD3A6E">
      <w:pPr>
        <w:ind w:left="-709" w:right="-631"/>
        <w:rPr>
          <w:rFonts w:asciiTheme="majorHAnsi" w:hAnsiTheme="majorHAnsi"/>
        </w:rPr>
      </w:pPr>
      <w:r w:rsidRPr="004E32AB">
        <w:rPr>
          <w:rFonts w:asciiTheme="majorHAnsi" w:hAnsiTheme="majorHAnsi"/>
        </w:rPr>
        <w:t>We would ask the Mayor to intervene to ensure that Berkeley Homes engages fully with our legitimate concerns. We do not believe they ca</w:t>
      </w:r>
      <w:r w:rsidR="002378C8">
        <w:rPr>
          <w:rFonts w:asciiTheme="majorHAnsi" w:hAnsiTheme="majorHAnsi"/>
        </w:rPr>
        <w:t>n recover ‘debts’ going back two</w:t>
      </w:r>
      <w:r w:rsidRPr="004E32AB">
        <w:rPr>
          <w:rFonts w:asciiTheme="majorHAnsi" w:hAnsiTheme="majorHAnsi"/>
        </w:rPr>
        <w:t xml:space="preserve"> </w:t>
      </w:r>
      <w:proofErr w:type="gramStart"/>
      <w:r w:rsidRPr="004E32AB">
        <w:rPr>
          <w:rFonts w:asciiTheme="majorHAnsi" w:hAnsiTheme="majorHAnsi"/>
        </w:rPr>
        <w:t>years which</w:t>
      </w:r>
      <w:proofErr w:type="gramEnd"/>
      <w:r w:rsidRPr="004E32AB">
        <w:rPr>
          <w:rFonts w:asciiTheme="majorHAnsi" w:hAnsiTheme="majorHAnsi"/>
        </w:rPr>
        <w:t xml:space="preserve"> we have not been alerted to until now.</w:t>
      </w:r>
    </w:p>
    <w:sectPr w:rsidR="00574B24" w:rsidRPr="004E32AB" w:rsidSect="00F61BC7">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84931BB"/>
    <w:multiLevelType w:val="hybridMultilevel"/>
    <w:tmpl w:val="31B68E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2F6F"/>
    <w:rsid w:val="002378C8"/>
    <w:rsid w:val="002E268D"/>
    <w:rsid w:val="003F7FF7"/>
    <w:rsid w:val="004E32AB"/>
    <w:rsid w:val="00574B24"/>
    <w:rsid w:val="00760E8C"/>
    <w:rsid w:val="0092483D"/>
    <w:rsid w:val="00BD3A6E"/>
    <w:rsid w:val="00C120D2"/>
    <w:rsid w:val="00C16771"/>
    <w:rsid w:val="00C52F6F"/>
    <w:rsid w:val="00F61BC7"/>
    <w:rsid w:val="00FA728F"/>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72E076C"/>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52F6F"/>
    <w:pPr>
      <w:spacing w:after="160" w:line="259" w:lineRule="auto"/>
    </w:pPr>
    <w:rPr>
      <w:rFonts w:eastAsiaTheme="minorHAnsi"/>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60E8C"/>
    <w:pPr>
      <w:spacing w:after="0" w:line="240" w:lineRule="auto"/>
      <w:ind w:left="720"/>
      <w:contextualSpacing/>
    </w:pPr>
    <w:rPr>
      <w:rFonts w:eastAsiaTheme="minorEastAsia"/>
      <w:kern w:val="0"/>
      <w:sz w:val="24"/>
      <w:szCs w:val="24"/>
      <w14:ligatures w14:val="non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52F6F"/>
    <w:pPr>
      <w:spacing w:after="160" w:line="259" w:lineRule="auto"/>
    </w:pPr>
    <w:rPr>
      <w:rFonts w:eastAsiaTheme="minorHAnsi"/>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60E8C"/>
    <w:pPr>
      <w:spacing w:after="0" w:line="240" w:lineRule="auto"/>
      <w:ind w:left="720"/>
      <w:contextualSpacing/>
    </w:pPr>
    <w:rPr>
      <w:rFonts w:eastAsiaTheme="minorEastAsia"/>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30</TotalTime>
  <Pages>1</Pages>
  <Words>542</Words>
  <Characters>3095</Characters>
  <Application>Microsoft Macintosh Word</Application>
  <DocSecurity>0</DocSecurity>
  <Lines>25</Lines>
  <Paragraphs>7</Paragraphs>
  <ScaleCrop>false</ScaleCrop>
  <Company/>
  <LinksUpToDate>false</LinksUpToDate>
  <CharactersWithSpaces>3630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Oonagh Gormley</dc:creator>
  <cp:keywords/>
  <dc:description/>
  <cp:lastModifiedBy>Oonagh Gormley</cp:lastModifiedBy>
  <cp:revision>8</cp:revision>
  <dcterms:created xsi:type="dcterms:W3CDTF">2023-10-01T10:05:00Z</dcterms:created>
  <dcterms:modified xsi:type="dcterms:W3CDTF">2023-10-01T10:51:00Z</dcterms:modified>
</cp:coreProperties>
</file>